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4" w:lineRule="auto" w:before="118"/>
        <w:ind w:left="121"/>
      </w:pPr>
      <w:r>
        <w:rPr/>
        <w:t>Министерство</w:t>
      </w:r>
      <w:r>
        <w:rPr>
          <w:spacing w:val="-18"/>
        </w:rPr>
        <w:t> </w:t>
      </w:r>
      <w:r>
        <w:rPr/>
        <w:t>архитектуры</w:t>
      </w:r>
      <w:r>
        <w:rPr>
          <w:spacing w:val="-18"/>
        </w:rPr>
        <w:t> </w:t>
      </w:r>
      <w:r>
        <w:rPr/>
        <w:t>и строительства Республики </w:t>
      </w:r>
      <w:r>
        <w:rPr>
          <w:spacing w:val="-2"/>
        </w:rPr>
        <w:t>Беларусь</w:t>
      </w:r>
    </w:p>
    <w:p>
      <w:pPr>
        <w:pStyle w:val="BodyText"/>
        <w:spacing w:line="194" w:lineRule="auto" w:before="118"/>
        <w:ind w:left="121"/>
      </w:pPr>
      <w:r>
        <w:rPr/>
        <w:br w:type="column"/>
      </w:r>
      <w:r>
        <w:rPr/>
        <w:t>Государственный</w:t>
      </w:r>
      <w:r>
        <w:rPr>
          <w:spacing w:val="-16"/>
        </w:rPr>
        <w:t> </w:t>
      </w:r>
      <w:r>
        <w:rPr/>
        <w:t>комитет</w:t>
      </w:r>
      <w:r>
        <w:rPr>
          <w:spacing w:val="-16"/>
        </w:rPr>
        <w:t> </w:t>
      </w:r>
      <w:r>
        <w:rPr/>
        <w:t>по стандартизации Республики </w:t>
      </w:r>
      <w:r>
        <w:rPr>
          <w:spacing w:val="-2"/>
        </w:rPr>
        <w:t>Беларусь</w:t>
      </w:r>
    </w:p>
    <w:p>
      <w:pPr>
        <w:spacing w:after="0" w:line="194" w:lineRule="auto"/>
        <w:sectPr>
          <w:type w:val="continuous"/>
          <w:pgSz w:w="11910" w:h="16840"/>
          <w:pgMar w:top="600" w:bottom="280" w:left="1380" w:right="200"/>
          <w:cols w:num="2" w:equalWidth="0">
            <w:col w:w="3962" w:space="2101"/>
            <w:col w:w="4267"/>
          </w:cols>
        </w:sectPr>
      </w:pPr>
    </w:p>
    <w:p>
      <w:pPr>
        <w:pStyle w:val="BodyText"/>
        <w:tabs>
          <w:tab w:pos="6183" w:val="left" w:leader="none"/>
        </w:tabs>
        <w:spacing w:before="165"/>
        <w:ind w:left="121"/>
      </w:pPr>
      <w:r>
        <w:rPr/>
        <w:t>№02-1-09/11869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>
          <w:spacing w:val="-2"/>
        </w:rPr>
        <w:t>19.10.2015</w:t>
      </w:r>
      <w:r>
        <w:rPr/>
        <w:tab/>
      </w:r>
      <w:r>
        <w:rPr>
          <w:u w:val="single"/>
        </w:rPr>
        <w:t>№04-09/1350</w:t>
      </w:r>
      <w:r>
        <w:rPr>
          <w:spacing w:val="-7"/>
          <w:u w:val="single"/>
        </w:rPr>
        <w:t> </w:t>
      </w:r>
      <w:r>
        <w:rPr>
          <w:u w:val="single"/>
        </w:rPr>
        <w:t>от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20.10.2015</w:t>
      </w:r>
    </w:p>
    <w:p>
      <w:pPr>
        <w:pStyle w:val="BodyText"/>
        <w:spacing w:line="194" w:lineRule="auto" w:before="209"/>
        <w:ind w:left="6291"/>
      </w:pPr>
      <w:r>
        <w:rPr/>
        <w:t>Руководителям</w:t>
      </w:r>
      <w:r>
        <w:rPr>
          <w:spacing w:val="-19"/>
        </w:rPr>
        <w:t> </w:t>
      </w:r>
      <w:r>
        <w:rPr/>
        <w:t>организаций, органов по сертификации строительных материалов и </w:t>
      </w:r>
      <w:r>
        <w:rPr>
          <w:spacing w:val="-2"/>
        </w:rPr>
        <w:t>изделий</w:t>
      </w:r>
    </w:p>
    <w:p>
      <w:pPr>
        <w:pStyle w:val="BodyText"/>
        <w:spacing w:before="3"/>
        <w:ind w:left="0"/>
        <w:rPr>
          <w:sz w:val="41"/>
        </w:rPr>
      </w:pPr>
    </w:p>
    <w:p>
      <w:pPr>
        <w:pStyle w:val="BodyText"/>
        <w:spacing w:line="194" w:lineRule="auto"/>
        <w:ind w:right="5502"/>
      </w:pPr>
      <w:r>
        <w:rPr/>
        <w:t>О выполнении постановления Совета</w:t>
      </w:r>
      <w:r>
        <w:rPr>
          <w:spacing w:val="-18"/>
        </w:rPr>
        <w:t> </w:t>
      </w:r>
      <w:r>
        <w:rPr/>
        <w:t>Министров</w:t>
      </w:r>
      <w:r>
        <w:rPr>
          <w:spacing w:val="-16"/>
        </w:rPr>
        <w:t> </w:t>
      </w:r>
      <w:r>
        <w:rPr/>
        <w:t>Республики Беларусь от 3.09.2015 г. №744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spacing w:line="237" w:lineRule="auto"/>
        <w:ind w:right="110" w:firstLine="800"/>
        <w:jc w:val="both"/>
      </w:pPr>
      <w:r>
        <w:rPr/>
        <w:t>Постановлением Совета Министров Республики Беларусь от 3 сентября 2015 г. № 744 «О внесении изменений и дополнений в постановление Совета Министров Республики Беларусь от 31 декабря 2009 г. №1748» (далее - постановление № 744) утверждены изменения в технический регламент Республики Беларусь (ТР 2009/013/BY) «Здания и сооружения, строительные материалы и изделия. Безопасность» (далее - технический регламент), которые вступают в силу с 11 марта 2016 г. Наиболее существенным изменениям подвергся Перечень строительных материалов и изделий (независимо от страны происхождения), работ в строительстве, подлежащих подтверждению соответствия существенным требованиям безопасности технического регламента, в котором изменены объекты подтверждения соответствия и формы обязательного подтверждения соответствия.</w:t>
      </w:r>
    </w:p>
    <w:p>
      <w:pPr>
        <w:spacing w:line="237" w:lineRule="auto" w:before="0"/>
        <w:ind w:left="111" w:right="110" w:firstLine="800"/>
        <w:jc w:val="both"/>
        <w:rPr>
          <w:sz w:val="30"/>
        </w:rPr>
      </w:pPr>
      <w:r>
        <w:rPr>
          <w:sz w:val="30"/>
        </w:rPr>
        <w:t>С 11 марта 2016 г. для строительных материалов и изделий (для заполнителей для бетонов и растворов с 1 ноября 2015 г.) подтверждение соответствия осуществляется в формах </w:t>
      </w:r>
      <w:r>
        <w:rPr>
          <w:b/>
          <w:sz w:val="30"/>
        </w:rPr>
        <w:t>декларирования соответствия на основании технической оценки пригодности и сертификации. </w:t>
      </w:r>
      <w:r>
        <w:rPr>
          <w:sz w:val="30"/>
        </w:rPr>
        <w:t>Пунктом 4 постановления №744 установлено, что принятые в отношении строительных материалов и изделий декларации о соответствии действуют до вступления в силу постановления №744.</w:t>
      </w:r>
    </w:p>
    <w:p>
      <w:pPr>
        <w:pStyle w:val="Heading1"/>
        <w:spacing w:line="237" w:lineRule="auto"/>
        <w:ind w:firstLine="800"/>
      </w:pPr>
      <w:r>
        <w:rPr/>
        <w:t>В этой связи при осуществлении работ по подтверждению соответствия строительных материалов и изделий на соответствие требованиям технического регламента, необходимо руководствоваться </w:t>
      </w:r>
      <w:r>
        <w:rPr>
          <w:spacing w:val="-2"/>
        </w:rPr>
        <w:t>следующим: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37" w:lineRule="auto" w:before="0" w:after="0"/>
        <w:ind w:left="111" w:right="111" w:firstLine="800"/>
        <w:jc w:val="both"/>
        <w:rPr>
          <w:sz w:val="30"/>
        </w:rPr>
      </w:pPr>
      <w:r>
        <w:rPr>
          <w:sz w:val="30"/>
        </w:rPr>
        <w:t>зарегистрированные до 11 марта 2016 г. декларации о соответствии на основании технической оценки пригодности, действуют до окончания срока их действия;</w:t>
      </w:r>
    </w:p>
    <w:p>
      <w:pPr>
        <w:pStyle w:val="ListParagraph"/>
        <w:numPr>
          <w:ilvl w:val="0"/>
          <w:numId w:val="1"/>
        </w:numPr>
        <w:tabs>
          <w:tab w:pos="1088" w:val="left" w:leader="none"/>
        </w:tabs>
        <w:spacing w:line="237" w:lineRule="auto" w:before="0" w:after="0"/>
        <w:ind w:left="111" w:right="110" w:firstLine="800"/>
        <w:jc w:val="both"/>
        <w:rPr>
          <w:sz w:val="30"/>
        </w:rPr>
      </w:pPr>
      <w:r>
        <w:rPr>
          <w:sz w:val="30"/>
        </w:rPr>
        <w:t>зарегистрированные до 11 марта 2016 г. (для заполнителей для бетонов и растворов до 1 ноября 2015 г.) декларации о соответствии на серийное производство (без проведения технической оценки пригодности) действуют до вступления в силу постановления №744;</w:t>
      </w:r>
    </w:p>
    <w:p>
      <w:pPr>
        <w:spacing w:after="0" w:line="237" w:lineRule="auto"/>
        <w:jc w:val="both"/>
        <w:rPr>
          <w:sz w:val="30"/>
        </w:rPr>
        <w:sectPr>
          <w:type w:val="continuous"/>
          <w:pgSz w:w="11910" w:h="16840"/>
          <w:pgMar w:top="600" w:bottom="280" w:left="1380" w:right="200"/>
        </w:sectPr>
      </w:pP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37" w:lineRule="auto" w:before="73" w:after="0"/>
        <w:ind w:left="111" w:right="110" w:firstLine="780"/>
        <w:jc w:val="both"/>
        <w:rPr>
          <w:sz w:val="30"/>
        </w:rPr>
      </w:pPr>
      <w:r>
        <w:rPr>
          <w:sz w:val="30"/>
        </w:rPr>
        <w:t>зарегистрированные декларации о соответствии на партии строительных материалов и изделий до утверждения постановления №744 (3 сентября 2015 г.), действуют до окончания срока их действия (на заполнители для бетонов и растворов до 1 ноября 2015 г.) и являются подтверждением соответствия строительных материалов и изделий </w:t>
      </w:r>
      <w:r>
        <w:rPr>
          <w:sz w:val="30"/>
        </w:rPr>
        <w:t>существенным</w:t>
      </w:r>
      <w:r>
        <w:rPr>
          <w:spacing w:val="40"/>
          <w:sz w:val="30"/>
        </w:rPr>
        <w:t> </w:t>
      </w:r>
      <w:r>
        <w:rPr>
          <w:sz w:val="30"/>
        </w:rPr>
        <w:t>требованиям безопасности технического регламента;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37" w:lineRule="auto" w:before="0" w:after="0"/>
        <w:ind w:left="111" w:right="110" w:firstLine="780"/>
        <w:jc w:val="both"/>
        <w:rPr>
          <w:sz w:val="30"/>
        </w:rPr>
      </w:pPr>
      <w:r>
        <w:rPr>
          <w:sz w:val="30"/>
        </w:rPr>
        <w:t>при принятии и регистрации деклараций о соответствии на строительные материалы и изделия, подлежащие обязательному подтверждению</w:t>
      </w:r>
      <w:r>
        <w:rPr>
          <w:spacing w:val="40"/>
          <w:sz w:val="30"/>
        </w:rPr>
        <w:t> </w:t>
      </w:r>
      <w:r>
        <w:rPr>
          <w:sz w:val="30"/>
        </w:rPr>
        <w:t>соответствия</w:t>
      </w:r>
      <w:r>
        <w:rPr>
          <w:spacing w:val="40"/>
          <w:sz w:val="30"/>
        </w:rPr>
        <w:t> </w:t>
      </w:r>
      <w:r>
        <w:rPr>
          <w:sz w:val="30"/>
        </w:rPr>
        <w:t>в</w:t>
      </w:r>
      <w:r>
        <w:rPr>
          <w:spacing w:val="40"/>
          <w:sz w:val="30"/>
        </w:rPr>
        <w:t> </w:t>
      </w:r>
      <w:r>
        <w:rPr>
          <w:sz w:val="30"/>
        </w:rPr>
        <w:t>форме</w:t>
      </w:r>
      <w:r>
        <w:rPr>
          <w:spacing w:val="40"/>
          <w:sz w:val="30"/>
        </w:rPr>
        <w:t> </w:t>
      </w:r>
      <w:r>
        <w:rPr>
          <w:sz w:val="30"/>
        </w:rPr>
        <w:t>декларирования,</w:t>
      </w:r>
      <w:r>
        <w:rPr>
          <w:spacing w:val="40"/>
          <w:sz w:val="30"/>
        </w:rPr>
        <w:t> </w:t>
      </w:r>
      <w:r>
        <w:rPr>
          <w:sz w:val="30"/>
        </w:rPr>
        <w:t>ограничивать</w:t>
      </w:r>
      <w:r>
        <w:rPr>
          <w:spacing w:val="40"/>
          <w:sz w:val="30"/>
        </w:rPr>
        <w:t> </w:t>
      </w:r>
      <w:r>
        <w:rPr>
          <w:sz w:val="30"/>
        </w:rPr>
        <w:t>срок их</w:t>
      </w:r>
      <w:r>
        <w:rPr>
          <w:spacing w:val="77"/>
          <w:sz w:val="30"/>
        </w:rPr>
        <w:t> </w:t>
      </w:r>
      <w:r>
        <w:rPr>
          <w:sz w:val="30"/>
        </w:rPr>
        <w:t>действия</w:t>
      </w:r>
      <w:r>
        <w:rPr>
          <w:spacing w:val="76"/>
          <w:sz w:val="30"/>
        </w:rPr>
        <w:t> </w:t>
      </w:r>
      <w:r>
        <w:rPr>
          <w:sz w:val="30"/>
        </w:rPr>
        <w:t>до</w:t>
      </w:r>
      <w:r>
        <w:rPr>
          <w:spacing w:val="-1"/>
          <w:sz w:val="30"/>
        </w:rPr>
        <w:t> </w:t>
      </w:r>
      <w:r>
        <w:rPr>
          <w:sz w:val="30"/>
        </w:rPr>
        <w:t>11 марта 2016</w:t>
      </w:r>
      <w:r>
        <w:rPr>
          <w:spacing w:val="-1"/>
          <w:sz w:val="30"/>
        </w:rPr>
        <w:t> </w:t>
      </w:r>
      <w:r>
        <w:rPr>
          <w:sz w:val="30"/>
        </w:rPr>
        <w:t>г. (для заполнителей</w:t>
      </w:r>
      <w:r>
        <w:rPr>
          <w:spacing w:val="76"/>
          <w:sz w:val="30"/>
        </w:rPr>
        <w:t> </w:t>
      </w:r>
      <w:r>
        <w:rPr>
          <w:sz w:val="30"/>
        </w:rPr>
        <w:t>для бетонов</w:t>
      </w:r>
      <w:r>
        <w:rPr>
          <w:spacing w:val="76"/>
          <w:sz w:val="30"/>
        </w:rPr>
        <w:t> </w:t>
      </w:r>
      <w:r>
        <w:rPr>
          <w:sz w:val="30"/>
        </w:rPr>
        <w:t>и</w:t>
      </w:r>
      <w:r>
        <w:rPr>
          <w:spacing w:val="76"/>
          <w:sz w:val="30"/>
        </w:rPr>
        <w:t> </w:t>
      </w:r>
      <w:r>
        <w:rPr>
          <w:sz w:val="30"/>
        </w:rPr>
        <w:t>растворов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338" w:lineRule="exact" w:before="0" w:after="0"/>
        <w:ind w:left="328" w:right="0" w:hanging="218"/>
        <w:jc w:val="both"/>
        <w:rPr>
          <w:sz w:val="30"/>
        </w:rPr>
      </w:pPr>
      <w:r>
        <w:rPr>
          <w:sz w:val="30"/>
        </w:rPr>
        <w:t>до</w:t>
      </w:r>
      <w:r>
        <w:rPr>
          <w:spacing w:val="-2"/>
          <w:sz w:val="30"/>
        </w:rPr>
        <w:t> </w:t>
      </w:r>
      <w:r>
        <w:rPr>
          <w:sz w:val="30"/>
        </w:rPr>
        <w:t>1</w:t>
      </w:r>
      <w:r>
        <w:rPr>
          <w:spacing w:val="-2"/>
          <w:sz w:val="30"/>
        </w:rPr>
        <w:t> </w:t>
      </w:r>
      <w:r>
        <w:rPr>
          <w:sz w:val="30"/>
        </w:rPr>
        <w:t>ноября</w:t>
      </w:r>
      <w:r>
        <w:rPr>
          <w:spacing w:val="-1"/>
          <w:sz w:val="30"/>
        </w:rPr>
        <w:t> </w:t>
      </w:r>
      <w:r>
        <w:rPr>
          <w:sz w:val="30"/>
        </w:rPr>
        <w:t>2015</w:t>
      </w:r>
      <w:r>
        <w:rPr>
          <w:spacing w:val="-2"/>
          <w:sz w:val="30"/>
        </w:rPr>
        <w:t> </w:t>
      </w:r>
      <w:r>
        <w:rPr>
          <w:spacing w:val="-4"/>
          <w:sz w:val="30"/>
        </w:rPr>
        <w:t>г.);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37" w:lineRule="auto" w:before="0" w:after="0"/>
        <w:ind w:left="111" w:right="111" w:firstLine="780"/>
        <w:jc w:val="both"/>
        <w:rPr>
          <w:sz w:val="30"/>
        </w:rPr>
      </w:pPr>
      <w:r>
        <w:rPr>
          <w:sz w:val="30"/>
        </w:rPr>
        <w:t>сертификаты соответствия на партии строительных материалов и изделий, выданные (выдаваемые) до 11 марта 2016 г., действуют до</w:t>
      </w:r>
      <w:r>
        <w:rPr>
          <w:spacing w:val="40"/>
          <w:sz w:val="30"/>
        </w:rPr>
        <w:t> </w:t>
      </w:r>
      <w:r>
        <w:rPr>
          <w:sz w:val="30"/>
        </w:rPr>
        <w:t>окончания срока их действия, а если он не установлен - до конца реализации партии продукции, с учетом сроков годности и продлеваются в установленном порядке на остатки нереализованной продукции с учетом сроков годности на основе ее идентификации, без проведения дополнительных испытаний;</w:t>
      </w:r>
    </w:p>
    <w:p>
      <w:pPr>
        <w:pStyle w:val="ListParagraph"/>
        <w:numPr>
          <w:ilvl w:val="1"/>
          <w:numId w:val="2"/>
        </w:numPr>
        <w:tabs>
          <w:tab w:pos="1044" w:val="left" w:leader="none"/>
        </w:tabs>
        <w:spacing w:line="237" w:lineRule="auto" w:before="0" w:after="0"/>
        <w:ind w:left="111" w:right="110" w:firstLine="780"/>
        <w:jc w:val="both"/>
        <w:rPr>
          <w:sz w:val="30"/>
        </w:rPr>
      </w:pPr>
      <w:r>
        <w:rPr>
          <w:sz w:val="30"/>
        </w:rPr>
        <w:t>сертификаты соответствия на строительные материалы и изделия серийного производства, выданные (выдаваемые) до 11 марта 2016 г.:</w:t>
      </w:r>
    </w:p>
    <w:p>
      <w:pPr>
        <w:pStyle w:val="BodyText"/>
        <w:spacing w:line="237" w:lineRule="auto"/>
        <w:ind w:right="110" w:firstLine="780"/>
        <w:jc w:val="both"/>
      </w:pPr>
      <w:r>
        <w:rPr/>
        <w:t>действуют до окончания срока их действия, если государственные стандарты, на соответствие которым осуществлялась сертификация, включены в перечень технических нормативных правовых актов, взаимосвязанных с техническим регламентом (далее - перечень взаимосвязанных ТНПА), а показатели, по которым проводилась сертификация, соответствуют показателям, указанным в перечне взаимосвязанных ТНПА.</w:t>
      </w:r>
    </w:p>
    <w:p>
      <w:pPr>
        <w:pStyle w:val="BodyText"/>
        <w:spacing w:line="337" w:lineRule="exact"/>
        <w:ind w:left="891"/>
        <w:jc w:val="both"/>
      </w:pPr>
      <w:r>
        <w:rPr/>
        <w:t>действуют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течение</w:t>
      </w:r>
      <w:r>
        <w:rPr>
          <w:spacing w:val="13"/>
        </w:rPr>
        <w:t> </w:t>
      </w:r>
      <w:r>
        <w:rPr/>
        <w:t>6</w:t>
      </w:r>
      <w:r>
        <w:rPr>
          <w:spacing w:val="13"/>
        </w:rPr>
        <w:t> </w:t>
      </w:r>
      <w:r>
        <w:rPr/>
        <w:t>месяцев</w:t>
      </w:r>
      <w:r>
        <w:rPr>
          <w:spacing w:val="12"/>
        </w:rPr>
        <w:t> </w:t>
      </w:r>
      <w:r>
        <w:rPr/>
        <w:t>после</w:t>
      </w:r>
      <w:r>
        <w:rPr>
          <w:spacing w:val="13"/>
        </w:rPr>
        <w:t> </w:t>
      </w:r>
      <w:r>
        <w:rPr/>
        <w:t>вступления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силу</w:t>
      </w:r>
      <w:r>
        <w:rPr>
          <w:spacing w:val="13"/>
        </w:rPr>
        <w:t> </w:t>
      </w:r>
      <w:r>
        <w:rPr>
          <w:spacing w:val="-2"/>
        </w:rPr>
        <w:t>постановления</w:t>
      </w:r>
    </w:p>
    <w:p>
      <w:pPr>
        <w:pStyle w:val="BodyText"/>
        <w:spacing w:line="237" w:lineRule="auto"/>
        <w:ind w:right="110"/>
        <w:jc w:val="both"/>
      </w:pPr>
      <w:r>
        <w:rPr/>
        <w:t>№744, если изменились требования государственных стандартов,</w:t>
      </w:r>
      <w:r>
        <w:rPr>
          <w:spacing w:val="80"/>
        </w:rPr>
        <w:t> </w:t>
      </w:r>
      <w:r>
        <w:rPr/>
        <w:t>включенных в перечень взаимосвязанных ТНПА либо перечень контролируемых показателей, на соответствие которым осуществлялась обязательная сертификация. Подтверждение соответствия новым</w:t>
      </w:r>
      <w:r>
        <w:rPr>
          <w:spacing w:val="80"/>
        </w:rPr>
        <w:t> </w:t>
      </w:r>
      <w:r>
        <w:rPr/>
        <w:t>требованиям осуществляется по результатам инспекционного контроля.</w:t>
      </w:r>
    </w:p>
    <w:p>
      <w:pPr>
        <w:pStyle w:val="Heading1"/>
        <w:spacing w:line="237" w:lineRule="auto"/>
      </w:pPr>
      <w:r>
        <w:rPr/>
        <w:t>В целях создания благоприятных условий при проведении</w:t>
      </w:r>
      <w:r>
        <w:rPr>
          <w:spacing w:val="40"/>
        </w:rPr>
        <w:t> </w:t>
      </w:r>
      <w:r>
        <w:rPr/>
        <w:t>процедур подтверждения соответствия в рамках реализации постановления №744 допускается:</w:t>
      </w:r>
    </w:p>
    <w:p>
      <w:pPr>
        <w:pStyle w:val="ListParagraph"/>
        <w:numPr>
          <w:ilvl w:val="1"/>
          <w:numId w:val="2"/>
        </w:numPr>
        <w:tabs>
          <w:tab w:pos="1054" w:val="left" w:leader="none"/>
        </w:tabs>
        <w:spacing w:line="237" w:lineRule="auto" w:before="0" w:after="0"/>
        <w:ind w:left="111" w:right="109" w:firstLine="780"/>
        <w:jc w:val="both"/>
        <w:rPr>
          <w:sz w:val="30"/>
        </w:rPr>
      </w:pPr>
      <w:r>
        <w:rPr>
          <w:sz w:val="30"/>
        </w:rPr>
        <w:t>проведение по решению заявителя обязательной сертификации вместо декларирования соответствия строительных материалов и изделий, подлежащих до 11 марта 2016 г. (для</w:t>
      </w:r>
      <w:r>
        <w:rPr>
          <w:spacing w:val="80"/>
          <w:sz w:val="30"/>
        </w:rPr>
        <w:t> </w:t>
      </w:r>
      <w:r>
        <w:rPr>
          <w:sz w:val="30"/>
        </w:rPr>
        <w:t>заполнителей</w:t>
      </w:r>
      <w:r>
        <w:rPr>
          <w:spacing w:val="80"/>
          <w:sz w:val="30"/>
        </w:rPr>
        <w:t> </w:t>
      </w:r>
      <w:r>
        <w:rPr>
          <w:sz w:val="30"/>
        </w:rPr>
        <w:t>для бетонов</w:t>
      </w:r>
      <w:r>
        <w:rPr>
          <w:spacing w:val="80"/>
          <w:sz w:val="30"/>
        </w:rPr>
        <w:t> </w:t>
      </w:r>
      <w:r>
        <w:rPr>
          <w:sz w:val="30"/>
        </w:rPr>
        <w:t>и растворов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37" w:lineRule="auto" w:before="0" w:after="0"/>
        <w:ind w:left="111" w:right="112" w:firstLine="0"/>
        <w:jc w:val="both"/>
        <w:rPr>
          <w:sz w:val="30"/>
        </w:rPr>
      </w:pPr>
      <w:r>
        <w:rPr>
          <w:sz w:val="30"/>
        </w:rPr>
        <w:t>до 1 ноября 2015 г.) обязательному подтверждению соответствия в форме декларирования соответствия. При этом при проведении заявителем сертификации</w:t>
      </w:r>
      <w:r>
        <w:rPr>
          <w:spacing w:val="40"/>
          <w:sz w:val="30"/>
        </w:rPr>
        <w:t> </w:t>
      </w:r>
      <w:r>
        <w:rPr>
          <w:sz w:val="30"/>
        </w:rPr>
        <w:t>серийно</w:t>
      </w:r>
      <w:r>
        <w:rPr>
          <w:spacing w:val="40"/>
          <w:sz w:val="30"/>
        </w:rPr>
        <w:t> </w:t>
      </w:r>
      <w:r>
        <w:rPr>
          <w:sz w:val="30"/>
        </w:rPr>
        <w:t>выпускаемых</w:t>
      </w:r>
      <w:r>
        <w:rPr>
          <w:spacing w:val="40"/>
          <w:sz w:val="30"/>
        </w:rPr>
        <w:t> </w:t>
      </w:r>
      <w:r>
        <w:rPr>
          <w:sz w:val="30"/>
        </w:rPr>
        <w:t>строительных материалов</w:t>
      </w:r>
      <w:r>
        <w:rPr>
          <w:spacing w:val="40"/>
          <w:sz w:val="30"/>
        </w:rPr>
        <w:t> </w:t>
      </w:r>
      <w:r>
        <w:rPr>
          <w:sz w:val="30"/>
        </w:rPr>
        <w:t>и</w:t>
      </w:r>
      <w:r>
        <w:rPr>
          <w:spacing w:val="40"/>
          <w:sz w:val="30"/>
        </w:rPr>
        <w:t> </w:t>
      </w:r>
      <w:r>
        <w:rPr>
          <w:sz w:val="30"/>
        </w:rPr>
        <w:t>изделий</w:t>
      </w:r>
    </w:p>
    <w:p>
      <w:pPr>
        <w:spacing w:after="0" w:line="237" w:lineRule="auto"/>
        <w:jc w:val="both"/>
        <w:rPr>
          <w:sz w:val="30"/>
        </w:rPr>
        <w:sectPr>
          <w:pgSz w:w="11910" w:h="16840"/>
          <w:pgMar w:top="1100" w:bottom="280" w:left="1380" w:right="200"/>
        </w:sectPr>
      </w:pPr>
    </w:p>
    <w:p>
      <w:pPr>
        <w:pStyle w:val="BodyText"/>
        <w:spacing w:line="237" w:lineRule="auto" w:before="72"/>
        <w:ind w:right="110"/>
        <w:jc w:val="both"/>
      </w:pPr>
      <w:r>
        <w:rPr/>
        <w:t>принятая ранее данным заявителем декларация о соответствии на серийный выпуск должна быть отменена с даты выдачи сертификата соответствия;</w:t>
      </w:r>
    </w:p>
    <w:p>
      <w:pPr>
        <w:pStyle w:val="ListParagraph"/>
        <w:numPr>
          <w:ilvl w:val="1"/>
          <w:numId w:val="2"/>
        </w:numPr>
        <w:tabs>
          <w:tab w:pos="1172" w:val="left" w:leader="none"/>
        </w:tabs>
        <w:spacing w:line="237" w:lineRule="auto" w:before="0" w:after="0"/>
        <w:ind w:left="111" w:right="110" w:firstLine="780"/>
        <w:jc w:val="both"/>
        <w:rPr>
          <w:sz w:val="30"/>
        </w:rPr>
      </w:pPr>
      <w:r>
        <w:rPr>
          <w:sz w:val="30"/>
        </w:rPr>
        <w:t>использовать</w:t>
      </w:r>
      <w:r>
        <w:rPr>
          <w:spacing w:val="40"/>
          <w:sz w:val="30"/>
        </w:rPr>
        <w:t> </w:t>
      </w:r>
      <w:r>
        <w:rPr>
          <w:sz w:val="30"/>
        </w:rPr>
        <w:t>при выдаче сертификатов соответствия результаты ранее проведенных испытаний в аккредитованных испытательных лабораториях (центрах) Республики Беларусь, полученных при декларировании соответствия данной продукции. При этом срок действия протоколов</w:t>
      </w:r>
      <w:r>
        <w:rPr>
          <w:spacing w:val="78"/>
          <w:w w:val="150"/>
          <w:sz w:val="30"/>
        </w:rPr>
        <w:t> </w:t>
      </w:r>
      <w:r>
        <w:rPr>
          <w:sz w:val="30"/>
        </w:rPr>
        <w:t>испытаний</w:t>
      </w:r>
      <w:r>
        <w:rPr>
          <w:spacing w:val="78"/>
          <w:w w:val="150"/>
          <w:sz w:val="30"/>
        </w:rPr>
        <w:t> </w:t>
      </w:r>
      <w:r>
        <w:rPr>
          <w:sz w:val="30"/>
        </w:rPr>
        <w:t>должен</w:t>
      </w:r>
      <w:r>
        <w:rPr>
          <w:spacing w:val="78"/>
          <w:w w:val="150"/>
          <w:sz w:val="30"/>
        </w:rPr>
        <w:t> </w:t>
      </w:r>
      <w:r>
        <w:rPr>
          <w:sz w:val="30"/>
        </w:rPr>
        <w:t>соответствовать</w:t>
      </w:r>
      <w:r>
        <w:rPr>
          <w:spacing w:val="77"/>
          <w:w w:val="150"/>
          <w:sz w:val="30"/>
        </w:rPr>
        <w:t> </w:t>
      </w:r>
      <w:r>
        <w:rPr>
          <w:sz w:val="30"/>
        </w:rPr>
        <w:t>п.</w:t>
      </w:r>
      <w:r>
        <w:rPr>
          <w:spacing w:val="79"/>
          <w:w w:val="150"/>
          <w:sz w:val="30"/>
        </w:rPr>
        <w:t> </w:t>
      </w:r>
      <w:r>
        <w:rPr>
          <w:sz w:val="30"/>
        </w:rPr>
        <w:t>5.5.5</w:t>
      </w:r>
      <w:r>
        <w:rPr>
          <w:spacing w:val="77"/>
          <w:w w:val="150"/>
          <w:sz w:val="30"/>
        </w:rPr>
        <w:t> </w:t>
      </w:r>
      <w:r>
        <w:rPr>
          <w:sz w:val="30"/>
        </w:rPr>
        <w:t>СТБ</w:t>
      </w:r>
      <w:r>
        <w:rPr>
          <w:spacing w:val="78"/>
          <w:w w:val="150"/>
          <w:sz w:val="30"/>
        </w:rPr>
        <w:t> </w:t>
      </w:r>
      <w:r>
        <w:rPr>
          <w:sz w:val="30"/>
        </w:rPr>
        <w:t>5.2.21-</w:t>
      </w:r>
      <w:r>
        <w:rPr>
          <w:spacing w:val="-4"/>
          <w:sz w:val="30"/>
        </w:rPr>
        <w:t>2004</w:t>
      </w:r>
    </w:p>
    <w:p>
      <w:pPr>
        <w:pStyle w:val="BodyText"/>
        <w:spacing w:line="237" w:lineRule="auto"/>
        <w:ind w:right="112"/>
        <w:jc w:val="both"/>
      </w:pPr>
      <w:r>
        <w:rPr/>
        <w:t>«Национальная система подтверждения соответствия Республики Беларусь. Порядок проведения сертификации строительных материалов и изделий».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3"/>
        </w:rPr>
      </w:pPr>
    </w:p>
    <w:p>
      <w:pPr>
        <w:pStyle w:val="BodyText"/>
        <w:tabs>
          <w:tab w:pos="5246" w:val="left" w:leader="none"/>
        </w:tabs>
        <w:spacing w:line="313" w:lineRule="exact"/>
      </w:pPr>
      <w:r>
        <w:rPr/>
        <w:t>Министр</w:t>
      </w:r>
      <w:r>
        <w:rPr>
          <w:spacing w:val="-8"/>
        </w:rPr>
        <w:t> </w:t>
      </w:r>
      <w:r>
        <w:rPr/>
        <w:t>архитектуры</w:t>
      </w:r>
      <w:r>
        <w:rPr>
          <w:spacing w:val="-8"/>
        </w:rPr>
        <w:t> </w:t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Председатель</w:t>
      </w:r>
    </w:p>
    <w:p>
      <w:pPr>
        <w:pStyle w:val="BodyText"/>
        <w:tabs>
          <w:tab w:pos="5272" w:val="left" w:leader="none"/>
        </w:tabs>
        <w:spacing w:line="283" w:lineRule="exact"/>
      </w:pPr>
      <w:r>
        <w:rPr>
          <w:spacing w:val="-2"/>
        </w:rPr>
        <w:t>cтроительства</w:t>
      </w:r>
      <w:r>
        <w:rPr/>
        <w:tab/>
        <w:t>Государственного</w:t>
      </w:r>
      <w:r>
        <w:rPr>
          <w:spacing w:val="-15"/>
        </w:rPr>
        <w:t> </w:t>
      </w:r>
      <w:r>
        <w:rPr>
          <w:spacing w:val="-2"/>
        </w:rPr>
        <w:t>комитета</w:t>
      </w:r>
    </w:p>
    <w:p>
      <w:pPr>
        <w:pStyle w:val="BodyText"/>
        <w:tabs>
          <w:tab w:pos="5258" w:val="left" w:leader="none"/>
        </w:tabs>
        <w:spacing w:line="196" w:lineRule="auto" w:before="19"/>
        <w:ind w:left="5287" w:right="2290" w:hanging="5176"/>
      </w:pPr>
      <w:r>
        <w:rPr/>
        <w:t>Республики Беларусь</w:t>
        <w:tab/>
        <w:t>по стандартизации Республики</w:t>
      </w:r>
      <w:r>
        <w:rPr>
          <w:spacing w:val="-19"/>
        </w:rPr>
        <w:t> </w:t>
      </w:r>
      <w:r>
        <w:rPr/>
        <w:t>Беларусь</w:t>
      </w:r>
    </w:p>
    <w:p>
      <w:pPr>
        <w:pStyle w:val="BodyText"/>
        <w:tabs>
          <w:tab w:pos="5326" w:val="left" w:leader="none"/>
        </w:tabs>
        <w:spacing w:before="265"/>
      </w:pPr>
      <w:r>
        <w:rPr>
          <w:spacing w:val="-2"/>
        </w:rPr>
        <w:t>А.Б.Черный</w:t>
      </w:r>
      <w:r>
        <w:rPr/>
        <w:tab/>
        <w:t>В.В.</w:t>
      </w:r>
      <w:r>
        <w:rPr>
          <w:spacing w:val="-4"/>
        </w:rPr>
        <w:t> </w:t>
      </w:r>
      <w:r>
        <w:rPr>
          <w:spacing w:val="-2"/>
        </w:rPr>
        <w:t>Назаренко</w:t>
      </w:r>
    </w:p>
    <w:sectPr>
      <w:pgSz w:w="11910" w:h="16840"/>
      <w:pgMar w:top="760" w:bottom="280" w:left="13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1" w:hanging="2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-"/>
      <w:lvlJc w:val="left"/>
      <w:pPr>
        <w:ind w:left="111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2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3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3" w:hanging="16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1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0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1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2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3" w:hanging="15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1" w:right="112" w:firstLine="780"/>
      <w:jc w:val="both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1" w:right="110" w:firstLine="78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tsvirko</dc:creator>
  <dcterms:created xsi:type="dcterms:W3CDTF">2023-02-14T06:31:12Z</dcterms:created>
  <dcterms:modified xsi:type="dcterms:W3CDTF">2023-02-14T06:31:12Z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Acrobat PDFMaker 8.0 для Word</vt:lpwstr>
  </property>
  <property fmtid="{D5CDD505-2E9C-101B-9397-08002B2CF9AE}" pid="4" name="LastSaved">
    <vt:filetime>2023-02-14T00:00:00Z</vt:filetime>
  </property>
  <property fmtid="{D5CDD505-2E9C-101B-9397-08002B2CF9AE}" pid="5" name="Producer">
    <vt:lpwstr>Acrobat Distiller 8.0.0 (Windows)</vt:lpwstr>
  </property>
  <property fmtid="{D5CDD505-2E9C-101B-9397-08002B2CF9AE}" pid="6" name="SourceModified">
    <vt:lpwstr>D:20151020100404</vt:lpwstr>
  </property>
</Properties>
</file>